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70" w:rsidRDefault="009B1C70" w:rsidP="009B1C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214"/>
          <w:kern w:val="36"/>
          <w:sz w:val="28"/>
          <w:szCs w:val="60"/>
          <w:lang w:eastAsia="ru-RU"/>
        </w:rPr>
      </w:pPr>
      <w:r w:rsidRPr="009B1C70">
        <w:rPr>
          <w:rFonts w:ascii="Times New Roman" w:eastAsia="Times New Roman" w:hAnsi="Times New Roman" w:cs="Times New Roman"/>
          <w:b/>
          <w:color w:val="111214"/>
          <w:kern w:val="36"/>
          <w:sz w:val="28"/>
          <w:szCs w:val="60"/>
          <w:lang w:eastAsia="ru-RU"/>
        </w:rPr>
        <w:t>Разъяснения по формированию надзорной отчетности в формате XBRL профессиональных участников рынка ценных бумаг, организаторов торговли и клиринговых организаций</w:t>
      </w:r>
    </w:p>
    <w:p w:rsidR="009B1C70" w:rsidRPr="009B1C70" w:rsidRDefault="009B1C70" w:rsidP="007A1DA3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 xml:space="preserve">Абзацем первым пунктов 4.7 — 4.10, 4.12, 4.49, 4.50, 4.52 Порядка, сроков и объема представления отчетности профессиональных участников рынка ценных бумаг, организаторов торговли, и клиринговых организаций, общих положений порядка ее составления, установленных в приложении 2 к Указанию Банка России от 13.01.2021 № 5709-У «Об объеме, формах, сроках и порядке составления и представления в Банк России отчетности профессиональных участников рынка ценных бумаг, организаторов торговли и клиринговых организаций, а также другой информации» </w:t>
      </w: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br/>
        <w:t>(далее соответственно — Порядок, сроки и объем, Указание), установлено ежемесячное представление отчетности по формам 0420409, 0420410, 0420411, 0420412, 0420414, 0420454, 0420455, 0420458 (далее — отчетность).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При этом, абзацем вторым указанных пунктов установлены специальные требования в части периодичности представления в Банк России форм отчетности в зависимости от определенного профессиональным участником рынка ценных бумаг (далее — профессиональный участник) годового диапазона значений показателей деятельности, установленных в приложении к Положению Банка России от 27.07.2015 № 481-П «О лицензионных требованиях и условиях осуществления профессиональной деятельности на рынке ценных бумаг, ограничениях на совмещение отдельных видов профессиональной деятельности на рынке ценных бумаг, а также о порядке и сроках представления в Банк России отчетов о прекращении обязательств, связанных с осуществлением профессиональной деятельности на рынке ценных бумаг, в случае аннулирования лицензии профессионального участника рынка ценных бумаг» (далее — Положение № 481-П).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 xml:space="preserve">Согласно подпункту 2.1.11 Положения № 481-П сопоставление профессиональным участником значений показателей деятельности, определенных в соответствии с подпунктом 2.1.10 Положения № 481-П, </w:t>
      </w: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br/>
        <w:t xml:space="preserve">с диапазонами значений показателей деятельности профессионального участника, установленными в графах 3 — 5 приложения к Положению </w:t>
      </w: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br/>
        <w:t>№ 481-П (далее — квартальные диапазоны), осуществляется в течение четвертого квартала текущего года, но не позднее 31 декабря.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 xml:space="preserve">В случае если профессиональный участник в соответствии с Положением </w:t>
      </w: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br/>
        <w:t>№ 481-П не определил ни по одному из показателей деятельности в качестве годового диапазона квартальный диапазон, указанный в графах 4 и 5 приложения к Положению № 481-П, таким профессиональным участником отчетность представляется ежеквартально.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 xml:space="preserve">При этом требования по сопоставлению значений показателей деятельности в соответствии с подпунктом 2.1.10 Положения № 481-П с квартальными диапазонами не распространяются в том числе на профессиональных участников, получивших лицензию профессионального участника в течение текущего календарного года (за исключением лицензиатов, </w:t>
      </w: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lastRenderedPageBreak/>
        <w:t xml:space="preserve">определивших годовые диапазоны на основании ранее полученной лицензии профессионального участника рынка ценных бумаг), осуществляющих исключительно деятельность по инвестиционному консультированию, осуществляющих деятельность </w:t>
      </w:r>
      <w:proofErr w:type="spellStart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форекс</w:t>
      </w:r>
      <w:proofErr w:type="spellEnd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 xml:space="preserve">-дилера </w:t>
      </w: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br/>
        <w:t>(далее при совместном упоминании — профессиональные участники, не определяющие годовой диапазон в соответствии с Положением № 481-П).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 xml:space="preserve">Таким образом, профессиональным участникам, не определяющим годовой диапазон в соответствии с Положением № 481-П, следует также руководствоваться положениями абзаца первого пунктов </w:t>
      </w: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br/>
        <w:t>4.7 — 4.10, 4.12, 4.49, 4.50, 4.52 Порядка, сроков и объема и представлять отчетность ежемесячно.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При заполнении показателя «Показатели деятельности» раздела 1 отчетности по форме 0420401 «Общие сведения об организации (индивидуальном предпринимателе)» (далее — форма 0420401) по состоянию на 31 декабря предыдущего года и Сопроводительной информации к отчетности (далее — Сопроводительная информация) в течение текущего года профессиональному участнику следует указывать значения «Малый», «Средний» или «Крупный» в соответствии с годовыми диапазонами значений показателей деятельности, установленными в графе 2 приложения к Положению № 481-П, за исключением профессиональных участников, не определяющих годовой диапазон в соответствии с Положением № 481-П.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Таким образом, профессиональный участник выбирает точку входа, исходя из значения, отраженного по показателю «Показатели деятельности» раздела 1 отчетности по форме 0420401, представленной в Банк России по состоянию на 31 декабря предыдущего года, и такое же значение должно быть отражено в течение текущего года по показателю «Показатели деятельности» в Сопроводительной информации, установленной в приложении 1 к Указанию (далее — Сопроводительная информация).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Например, если профессиональный участник определил в соответствии с Положением № 481-П значение показателя «Показатели деятельности» как «Малый», то он должен использовать точки входа с постфиксом «</w:t>
      </w:r>
      <w:proofErr w:type="spellStart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mal</w:t>
      </w:r>
      <w:proofErr w:type="spellEnd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».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Если профессиональный участник определил в соответствии с Положением № 481-П значение показателя «Показатели деятельности» как «Средний» или «Крупный», то он должен использовать точки входа без постфикса «</w:t>
      </w:r>
      <w:proofErr w:type="spellStart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mal</w:t>
      </w:r>
      <w:proofErr w:type="spellEnd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».</w:t>
      </w: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Профессиональным участникам, не определяющим годовой диапазон в соответствии с Положением № 481-П, а также организаторам торговли и клиринговым организациям также следует использовать точки входа без постфикса «</w:t>
      </w:r>
      <w:proofErr w:type="spellStart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mal</w:t>
      </w:r>
      <w:proofErr w:type="spellEnd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».</w:t>
      </w:r>
    </w:p>
    <w:p w:rsid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Данный подход не применим для следующих точек входа, поскольку они применяются отчитывающимися организациями вне зависимости от значения показателя «Показатели деятельности»:</w:t>
      </w:r>
    </w:p>
    <w:p w:rsidR="007A1DA3" w:rsidRDefault="007A1DA3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</w:p>
    <w:p w:rsidR="007A1DA3" w:rsidRPr="009B1C70" w:rsidRDefault="007A1DA3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572"/>
        <w:gridCol w:w="2773"/>
      </w:tblGrid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</w:pPr>
            <w:r w:rsidRPr="009B1C70">
              <w:rPr>
                <w:rFonts w:ascii="Times New Roman" w:eastAsia="Times New Roman" w:hAnsi="Times New Roman" w:cs="Times New Roman"/>
                <w:b/>
                <w:bCs/>
                <w:color w:val="2B2E33"/>
                <w:sz w:val="24"/>
                <w:szCs w:val="24"/>
                <w:lang w:eastAsia="ru-RU"/>
              </w:rPr>
              <w:lastRenderedPageBreak/>
              <w:t>Наименование точек входа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</w:pPr>
            <w:r w:rsidRPr="009B1C70">
              <w:rPr>
                <w:rFonts w:ascii="Times New Roman" w:eastAsia="Times New Roman" w:hAnsi="Times New Roman" w:cs="Times New Roman"/>
                <w:b/>
                <w:bCs/>
                <w:color w:val="2B2E33"/>
                <w:sz w:val="24"/>
                <w:szCs w:val="24"/>
                <w:lang w:eastAsia="ru-RU"/>
              </w:rPr>
              <w:t xml:space="preserve">Наименование точек входа </w:t>
            </w:r>
            <w:proofErr w:type="spellStart"/>
            <w:r w:rsidRPr="009B1C70">
              <w:rPr>
                <w:rFonts w:ascii="Times New Roman" w:eastAsia="Times New Roman" w:hAnsi="Times New Roman" w:cs="Times New Roman"/>
                <w:b/>
                <w:bCs/>
                <w:color w:val="2B2E33"/>
                <w:sz w:val="24"/>
                <w:szCs w:val="24"/>
                <w:lang w:eastAsia="ru-RU"/>
              </w:rPr>
              <w:t>xsd</w:t>
            </w:r>
            <w:proofErr w:type="spellEnd"/>
            <w:r w:rsidRPr="009B1C70">
              <w:rPr>
                <w:rFonts w:ascii="Times New Roman" w:eastAsia="Times New Roman" w:hAnsi="Times New Roman" w:cs="Times New Roman"/>
                <w:b/>
                <w:bCs/>
                <w:color w:val="2B2E33"/>
                <w:sz w:val="24"/>
                <w:szCs w:val="24"/>
                <w:lang w:eastAsia="ru-RU"/>
              </w:rPr>
              <w:t> схема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  <w:t>Отчетность, предоставляемая в течение 1 рабочего дня после окончания отчетной недели профессиональными участниками рынка ценных (крупными, средними, малыми)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val="en-US" w:eastAsia="ru-RU"/>
              </w:rPr>
              <w:t>ep_nso_purcb_w_7d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  <w:t>Отчетность, предоставляемая в течение 45 календарных дней после отчетной даты профессиональными участниками рынка ценных бумаг (крупными, средними и малыми), организаторами торговли и клиринговыми организациями — Отчетность на конец года, квартала (4 квартал), месяца (декабрь) (для БФО — на конец года)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val="en-US" w:eastAsia="ru-RU"/>
              </w:rPr>
              <w:t>ep_nso_purcb_q_y_45d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  <w:t>Нерегулярная отчетность, предоставляемая по запросу — Нерегулярная отчетность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</w:pPr>
            <w:proofErr w:type="spellStart"/>
            <w:r w:rsidRPr="009B1C70"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  <w:t>ep_nso_purcb_nr</w:t>
            </w:r>
            <w:proofErr w:type="spellEnd"/>
          </w:p>
        </w:tc>
      </w:tr>
    </w:tbl>
    <w:p w:rsidR="007A1DA3" w:rsidRDefault="007A1DA3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</w:p>
    <w:p w:rsidR="009B1C70" w:rsidRP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Для определения точки входа, по которой следует представить отчетность, рекомендуется руководствоваться приложением к настоящему сообщению («</w:t>
      </w:r>
      <w:proofErr w:type="spellStart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ПУРЦБ_</w:t>
      </w:r>
      <w:bookmarkStart w:id="0" w:name="_GoBack"/>
      <w:bookmarkEnd w:id="0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разделение</w:t>
      </w:r>
      <w:proofErr w:type="spellEnd"/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 xml:space="preserve"> по формам и лицензиям»).</w:t>
      </w:r>
    </w:p>
    <w:p w:rsidR="009B1C70" w:rsidRDefault="009B1C70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  <w:r w:rsidRPr="009B1C70"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  <w:t>Обращаем внимание, что ниже указан перечень точек входа, одновременное использование которых для составления отчетности на одну и ту же отчетную дату недопустимо:</w:t>
      </w:r>
    </w:p>
    <w:p w:rsidR="007A1DA3" w:rsidRPr="009B1C70" w:rsidRDefault="007A1DA3" w:rsidP="007A1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43"/>
        <w:gridCol w:w="4902"/>
      </w:tblGrid>
      <w:tr w:rsidR="009B1C70" w:rsidRPr="009B1C70" w:rsidTr="009B1C70">
        <w:tc>
          <w:tcPr>
            <w:tcW w:w="0" w:type="auto"/>
            <w:gridSpan w:val="2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eastAsia="ru-RU"/>
              </w:rPr>
            </w:pPr>
            <w:r w:rsidRPr="009B1C70">
              <w:rPr>
                <w:rFonts w:ascii="Times New Roman" w:eastAsia="Times New Roman" w:hAnsi="Times New Roman" w:cs="Times New Roman"/>
                <w:b/>
                <w:bCs/>
                <w:color w:val="2B2E33"/>
                <w:szCs w:val="24"/>
                <w:lang w:eastAsia="ru-RU"/>
              </w:rPr>
              <w:t>10 рабочих дней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ep_nso_purcb_m_10rd_ex_reestr_0420417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ep_nso_purcb_m_10rd_ex_reestr_0420417_mal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ep_nso_purcb_m_q_10rd_ex_reestr_0420417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ep_nso_purcb_m_q_10rd_ex_reestr_0420417_mal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ep_nso_purcb_y_10rd_ex_reestr_0420417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ep_nso_purcb_y_10rd_ex_reestr_0420417_mal</w:t>
            </w:r>
          </w:p>
        </w:tc>
      </w:tr>
      <w:tr w:rsidR="009B1C70" w:rsidRPr="009B1C70" w:rsidTr="009B1C70">
        <w:tc>
          <w:tcPr>
            <w:tcW w:w="0" w:type="auto"/>
            <w:gridSpan w:val="2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eastAsia="ru-RU"/>
              </w:rPr>
            </w:pPr>
            <w:r w:rsidRPr="009B1C70">
              <w:rPr>
                <w:rFonts w:ascii="Times New Roman" w:eastAsia="Times New Roman" w:hAnsi="Times New Roman" w:cs="Times New Roman"/>
                <w:b/>
                <w:bCs/>
                <w:color w:val="2B2E33"/>
                <w:szCs w:val="24"/>
                <w:lang w:eastAsia="ru-RU"/>
              </w:rPr>
              <w:t>30 календарных дней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ep_nso_purcb_m_30d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ep_nso_purcb_m_30d_mal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ep_nso_purcb_m_q_30d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ep_nso_purcb_m_q_30d_mal</w:t>
            </w:r>
          </w:p>
        </w:tc>
      </w:tr>
      <w:tr w:rsidR="009B1C70" w:rsidRPr="009B1C70" w:rsidTr="009B1C70"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ep_nso_purcb_m_y_30d</w:t>
            </w:r>
          </w:p>
        </w:tc>
        <w:tc>
          <w:tcPr>
            <w:tcW w:w="0" w:type="auto"/>
            <w:hideMark/>
          </w:tcPr>
          <w:p w:rsidR="009B1C70" w:rsidRPr="009B1C70" w:rsidRDefault="009B1C70" w:rsidP="009B1C70">
            <w:pPr>
              <w:jc w:val="center"/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</w:pPr>
            <w:r w:rsidRPr="009B1C70">
              <w:rPr>
                <w:rFonts w:ascii="Times New Roman" w:eastAsia="Times New Roman" w:hAnsi="Times New Roman" w:cs="Times New Roman"/>
                <w:color w:val="2B2E33"/>
                <w:szCs w:val="24"/>
                <w:lang w:val="en-US" w:eastAsia="ru-RU"/>
              </w:rPr>
              <w:t>ep_nso_purcb_m_y_30d_mal</w:t>
            </w:r>
          </w:p>
        </w:tc>
      </w:tr>
    </w:tbl>
    <w:p w:rsidR="00B6232C" w:rsidRPr="009B1C70" w:rsidRDefault="007A1DA3">
      <w:pPr>
        <w:rPr>
          <w:rFonts w:ascii="Times New Roman" w:hAnsi="Times New Roman" w:cs="Times New Roman"/>
          <w:lang w:val="en-US"/>
        </w:rPr>
      </w:pPr>
    </w:p>
    <w:sectPr w:rsidR="00B6232C" w:rsidRPr="009B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9B"/>
    <w:rsid w:val="002318BA"/>
    <w:rsid w:val="00662075"/>
    <w:rsid w:val="007A1DA3"/>
    <w:rsid w:val="008C2463"/>
    <w:rsid w:val="009B1C70"/>
    <w:rsid w:val="00F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1E36-DAED-4920-945B-859EFDF9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9B1C70"/>
  </w:style>
  <w:style w:type="paragraph" w:styleId="a3">
    <w:name w:val="Normal (Web)"/>
    <w:basedOn w:val="a"/>
    <w:uiPriority w:val="99"/>
    <w:semiHidden/>
    <w:unhideWhenUsed/>
    <w:rsid w:val="009B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C70"/>
    <w:rPr>
      <w:b/>
      <w:bCs/>
    </w:rPr>
  </w:style>
  <w:style w:type="table" w:styleId="a5">
    <w:name w:val="Table Grid"/>
    <w:basedOn w:val="a1"/>
    <w:uiPriority w:val="39"/>
    <w:rsid w:val="009B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9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Голяева Анастасия Сергеевна</dc:creator>
  <cp:keywords/>
  <dc:description/>
  <cp:lastModifiedBy>Голяева Анастасия Сергеевна</cp:lastModifiedBy>
  <cp:revision>3</cp:revision>
  <dcterms:created xsi:type="dcterms:W3CDTF">2021-12-30T11:29:00Z</dcterms:created>
  <dcterms:modified xsi:type="dcterms:W3CDTF">2021-12-30T11:45:00Z</dcterms:modified>
</cp:coreProperties>
</file>